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Times New Roman" w:ascii="Times New Roman" w:hAnsi="Times New Roman"/>
          <w:sz w:val="24"/>
          <w:szCs w:val="24"/>
        </w:rPr>
        <w:t>СОГЛАШЕНИЕ О СОТРУДНИЧЕСТВЕ</w:t>
      </w:r>
    </w:p>
    <w:p>
      <w:pPr>
        <w:pStyle w:val="Normal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г. _______________                                                                             «_____»_________20__г.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sz w:val="24"/>
          <w:szCs w:val="24"/>
        </w:rPr>
        <w:t>_____________________________________________________________________________,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sz w:val="18"/>
          <w:szCs w:val="18"/>
        </w:rPr>
        <w:t>Наименование Территориального Органа по сертификации/региональной Ассоциации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именуемое в дальнейшем «Гильдия»,  в лице ______________________________________, 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b w:val="false"/>
          <w:bCs w:val="false"/>
          <w:sz w:val="18"/>
          <w:szCs w:val="18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Style w:val="Strong"/>
          <w:rFonts w:cs="Times New Roman" w:ascii="Times New Roman" w:hAnsi="Times New Roman"/>
          <w:b w:val="false"/>
          <w:bCs w:val="false"/>
          <w:sz w:val="18"/>
          <w:szCs w:val="18"/>
        </w:rPr>
        <w:t>должность</w:t>
      </w:r>
    </w:p>
    <w:p>
      <w:pPr>
        <w:pStyle w:val="Normal"/>
        <w:spacing w:lineRule="auto" w:line="240" w:before="0" w:after="0"/>
        <w:rPr>
          <w:rStyle w:val="Strong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________________________________,  действующей на основании ____________, с одной</w:t>
      </w:r>
    </w:p>
    <w:p>
      <w:pPr>
        <w:pStyle w:val="Normal"/>
        <w:spacing w:lineRule="auto" w:line="240" w:before="0" w:after="0"/>
        <w:ind w:firstLine="708" w:left="708" w:right="0"/>
        <w:rPr>
          <w:rStyle w:val="Strong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18"/>
          <w:szCs w:val="18"/>
        </w:rPr>
        <w:t>ФИО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стороны и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</w:t>
        <w:tab/>
        <w:tab/>
        <w:tab/>
        <w:tab/>
        <w:tab/>
        <w:tab/>
      </w:r>
      <w:r>
        <w:rPr>
          <w:rFonts w:cs="Times New Roman" w:ascii="Times New Roman" w:hAnsi="Times New Roman"/>
          <w:sz w:val="18"/>
          <w:szCs w:val="18"/>
        </w:rPr>
        <w:t xml:space="preserve"> Наименование Учебного Заведения</w:t>
      </w:r>
    </w:p>
    <w:p>
      <w:pPr>
        <w:pStyle w:val="Normal"/>
        <w:spacing w:lineRule="atLeast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именуемое в дальнейшем «Учебное заведение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» </w:t>
      </w:r>
      <w:r>
        <w:rPr>
          <w:rFonts w:cs="Times New Roman" w:ascii="Times New Roman" w:hAnsi="Times New Roman"/>
          <w:sz w:val="24"/>
          <w:szCs w:val="24"/>
        </w:rPr>
        <w:t>в лице ______________, _______________,</w:t>
      </w:r>
    </w:p>
    <w:p>
      <w:pPr>
        <w:pStyle w:val="Normal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rStyle w:val="Strong"/>
          <w:rFonts w:cs="Times New Roman" w:ascii="Times New Roman" w:hAnsi="Times New Roman"/>
          <w:b w:val="false"/>
          <w:bCs w:val="false"/>
          <w:sz w:val="18"/>
          <w:szCs w:val="18"/>
        </w:rPr>
        <w:t>должность                          Ф.И.О.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действующей на основании ______________, а вместе именуемые в дальнейшем «Стороны», заключили настоящий договор о нижеследующем:</w:t>
      </w:r>
    </w:p>
    <w:p>
      <w:pPr>
        <w:pStyle w:val="Normal"/>
        <w:spacing w:lineRule="atLeast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ind w:hanging="0" w:left="72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СОГЛАШЕНИЯ</w:t>
      </w:r>
    </w:p>
    <w:p>
      <w:pPr>
        <w:pStyle w:val="Normal"/>
        <w:spacing w:before="0" w:after="0"/>
        <w:ind w:left="72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ind w:firstLine="36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1.1. Предметом настоящего Соглашения является деятельность Сторон при осуществлении обучения специалистов рынка недвижимости по программам подготовки Агентов и  Брокеров на основе стандартов Системы добровольной сертификации услуг на рынке недвижимости (зарегистрирована в реестре Госстандарта РФ РОСС </w:t>
      </w:r>
      <w:r>
        <w:rPr>
          <w:rFonts w:cs="Times New Roman" w:ascii="Times New Roman" w:hAnsi="Times New Roman"/>
          <w:sz w:val="24"/>
          <w:szCs w:val="24"/>
          <w:lang w:val="en-US"/>
        </w:rPr>
        <w:t>RU</w:t>
      </w:r>
      <w:r>
        <w:rPr>
          <w:rFonts w:cs="Times New Roman" w:ascii="Times New Roman" w:hAnsi="Times New Roman"/>
          <w:sz w:val="24"/>
          <w:szCs w:val="24"/>
        </w:rPr>
        <w:t xml:space="preserve"> №И046.04РН00, далее – Система).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993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ОБЯЗАТЕЛЬСТВА СТОРОН</w:t>
      </w:r>
    </w:p>
    <w:p>
      <w:pPr>
        <w:pStyle w:val="Style15"/>
        <w:tabs>
          <w:tab w:val="clear" w:pos="708"/>
          <w:tab w:val="left" w:pos="709" w:leader="none"/>
        </w:tabs>
        <w:spacing w:before="0" w:after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2.1. </w:t>
      </w:r>
      <w:r>
        <w:rPr>
          <w:rStyle w:val="Strong"/>
          <w:rFonts w:cs="Times New Roman" w:ascii="Times New Roman" w:hAnsi="Times New Roman"/>
          <w:bCs w:val="false"/>
          <w:sz w:val="24"/>
          <w:szCs w:val="24"/>
        </w:rPr>
        <w:t>«Гильдия»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обязуется: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Оказывать информационную поддержку «Учебному заведению», в виде уведомления об изменении требований к обучению и аттестации специалистов по недвижимости, принятии новых нормативных актов в рамках Системы и изменений к ним, внесению изменений в содержание рекомендуемых учебных планов и тестовых вопросов;</w:t>
      </w:r>
    </w:p>
    <w:p>
      <w:pPr>
        <w:pStyle w:val="Normal"/>
        <w:spacing w:before="0" w:after="0"/>
        <w:ind w:firstLine="708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2.1.2. Проводить анализ учебных программ и экзаменационных вопросов на предмет соответствия Стандартам Руководящего Органа Системы Сертификации;</w:t>
      </w:r>
      <w:r>
        <w:rPr/>
        <w:t xml:space="preserve"> </w:t>
      </w:r>
    </w:p>
    <w:p>
      <w:pPr>
        <w:pStyle w:val="Normal"/>
        <w:spacing w:before="0" w:after="0"/>
        <w:ind w:firstLine="708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2.1.3 По запросу Учебного заведения, направлять руководителя в качестве председателя экзаменационной комиссии.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2.1.4. Разместить информацию об Учебном заведении на сайте «Гильдии» в объеме, необходимом для доведения информации об участии Учебного заведения в системе сертификации.</w:t>
      </w:r>
    </w:p>
    <w:p>
      <w:pPr>
        <w:pStyle w:val="Normal"/>
        <w:numPr>
          <w:ilvl w:val="1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2.2. </w:t>
      </w:r>
      <w:r>
        <w:rPr>
          <w:rStyle w:val="Strong"/>
          <w:rFonts w:cs="Times New Roman" w:ascii="Times New Roman" w:hAnsi="Times New Roman"/>
          <w:bCs w:val="false"/>
          <w:sz w:val="24"/>
          <w:szCs w:val="24"/>
        </w:rPr>
        <w:t>«Гильдия»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имеет право: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2.2.1.  По запросу Учебного заведения направлять своих представителей для участия в обучающих мероприятиях, организуемых «Учебным заведением»</w:t>
      </w:r>
      <w:r>
        <w:rPr>
          <w:rFonts w:cs="Times New Roman" w:ascii="Times New Roman" w:hAnsi="Times New Roman"/>
          <w:color w:val="0000FF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0000FF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«</w:t>
      </w:r>
      <w:r>
        <w:rPr>
          <w:rFonts w:cs="Times New Roman" w:ascii="Times New Roman" w:hAnsi="Times New Roman"/>
          <w:b/>
          <w:bCs/>
          <w:sz w:val="24"/>
          <w:szCs w:val="24"/>
        </w:rPr>
        <w:t>Учебное заведение» обязуется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2.3.1. Обеспечивать соблюдение Стандартов Системы Добровольной Сертификации «Требования и порядок аккредитации учебных заведений для целей сертификации»</w:t>
      </w:r>
      <w:r>
        <w:rPr>
          <w:rFonts w:cs="Times New Roman" w:ascii="Times New Roman" w:hAnsi="Times New Roman"/>
          <w:bCs/>
          <w:sz w:val="24"/>
          <w:szCs w:val="24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Положения «О порядке аттестации специалистов рынка недвижимости – агентов и брокеров в рамках Системы Добровольной Сертификации услуг на рынке недвижимости»;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2.3.2. Согласовывать с «Гильдией» учебные программы, экзаменационные вопросы;</w:t>
      </w:r>
    </w:p>
    <w:p>
      <w:pPr>
        <w:pStyle w:val="Normal"/>
        <w:spacing w:lineRule="auto" w:line="240"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2.3.3. Вести прием и учет заявлений на обучение от претендентов на получение Свидетельства специалиста по недвижимости;</w:t>
      </w:r>
    </w:p>
    <w:p>
      <w:pPr>
        <w:pStyle w:val="Normal"/>
        <w:spacing w:lineRule="auto" w:line="240" w:before="0" w:after="0"/>
        <w:ind w:firstLine="708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2.3.4. Выдавать лицам, прошедшим обучение, документы установленного образца РОСС (Свидетельство).</w:t>
      </w:r>
    </w:p>
    <w:p>
      <w:pPr>
        <w:pStyle w:val="Normal"/>
        <w:spacing w:lineRule="auto" w:line="24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2.3.5. Распространять информацию, в том числе с использованием сети «Интернет», об образовательных услугах в рамках Системы.</w:t>
      </w:r>
    </w:p>
    <w:p>
      <w:pPr>
        <w:pStyle w:val="Normal"/>
        <w:spacing w:before="0" w:after="0"/>
        <w:ind w:firstLine="708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    «</w:t>
      </w:r>
      <w:r>
        <w:rPr>
          <w:rFonts w:cs="Times New Roman" w:ascii="Times New Roman" w:hAnsi="Times New Roman"/>
          <w:b/>
          <w:bCs/>
          <w:sz w:val="24"/>
          <w:szCs w:val="24"/>
        </w:rPr>
        <w:t>Учебное заведение» имеет право: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rPr/>
      </w:pPr>
      <w:r>
        <w:rPr>
          <w:rFonts w:cs="Times New Roman" w:ascii="Times New Roman" w:hAnsi="Times New Roman"/>
          <w:sz w:val="24"/>
          <w:szCs w:val="24"/>
        </w:rPr>
        <w:tab/>
        <w:t>2.4.1. Направлять запросы в Гильдию с целью получения справочной информации, связанной с порядком проведения обучающих мероприятий в рамках Системы и по иным вопросам, связанным с предметом настоящего Соглашения.</w:t>
      </w:r>
    </w:p>
    <w:p>
      <w:pPr>
        <w:pStyle w:val="Style15"/>
        <w:tabs>
          <w:tab w:val="clear" w:pos="708"/>
          <w:tab w:val="left" w:pos="0" w:leader="none"/>
        </w:tabs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2.4.2.  По согласованию с Гильдией направлять своих представителей для участия в мероприятиях, организуемых Гильдией.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СРОК ДЕЙСТВИЯ СОГЛАШЕНИЯ*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3.1. Настоящее Соглашение вступает в силу с момента принятия решения Управляющим Советом РОСС РГР об аккредитации «Учебного Заведения» в Системе добровольной сертификации и действует до окончания срока свидетельства об аккредитации, за исключением случаев, указанных в п. 5 настоящего Соглашения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FF"/>
          <w:sz w:val="24"/>
          <w:szCs w:val="24"/>
        </w:rPr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993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УСЛОВИЯ ДОСРОЧНОГО РАСТОРЖЕНИЯ СОГЛАШЕНИЯ В ОДНОСТОРОННЕМ ПОРЯДКЕ. *</w:t>
      </w:r>
    </w:p>
    <w:p>
      <w:pPr>
        <w:pStyle w:val="Style15"/>
        <w:tabs>
          <w:tab w:val="clear" w:pos="708"/>
          <w:tab w:val="left" w:pos="0" w:leader="none"/>
        </w:tabs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4.1. В случае нарушения одной из сторон своих обязательств, прописанных в п. 2 настоящего Соглашения, отношения могут быть расторгнуты в одностороннем порядке. Процедура расторжения Соглашения прописана в п. 5.3.</w:t>
      </w:r>
    </w:p>
    <w:p>
      <w:pPr>
        <w:pStyle w:val="Normal"/>
        <w:numPr>
          <w:ilvl w:val="2"/>
          <w:numId w:val="2"/>
        </w:numPr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FF"/>
          <w:sz w:val="24"/>
          <w:szCs w:val="24"/>
        </w:rPr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993" w:leader="none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ПРОЧИЕ УСЛОВИЯ.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  <w:t>5</w:t>
      </w:r>
      <w:r>
        <w:rPr>
          <w:rFonts w:cs="Times New Roman" w:ascii="Times New Roman" w:hAnsi="Times New Roman"/>
          <w:sz w:val="24"/>
          <w:szCs w:val="24"/>
        </w:rPr>
        <w:t>.1. Стороны вправе по взаимному согласию вносить в настоящее Соглашение изменения и дополнения, которые оформляются дополнительными Соглашениями, являющимися неотъемлемой частью настоящего Соглашения.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5.2.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В случае существования финансовых взаимоотношений, они оформляются дополнительным Соглашением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5.3. Настоящее Соглашение может быть расторгнуто по инициативе любой из Сторон, о чем необходимо письменно уведомить другую Сторону не позднее, чем за 30 календарных дней до предполагаемого срока его расторжения.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5.4.  Настоящее Соглашение с Приложением, которое является его неотъемлемой частью, составлено в двух экземплярах, имеющих одинаковую юридическую силу, – по одному для каждой из Сторон.</w:t>
      </w:r>
    </w:p>
    <w:p>
      <w:pPr>
        <w:pStyle w:val="Style15"/>
        <w:tabs>
          <w:tab w:val="clear" w:pos="708"/>
          <w:tab w:val="left" w:pos="0" w:leader="none"/>
        </w:tabs>
        <w:spacing w:before="0" w:after="0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5.5. В случае изменения у одной из сторон реквизитов, указанных в настоящем Соглашении, она письменно сообщает об этом другой стороне с указанием новых реквизитов в течении 5-ти рабочих дней со дня изменения.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СТОРОН</w:t>
      </w:r>
    </w:p>
    <w:tbl>
      <w:tblPr>
        <w:tblW w:w="89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9"/>
        <w:gridCol w:w="4292"/>
      </w:tblGrid>
      <w:tr>
        <w:trPr>
          <w:trHeight w:val="293" w:hRule="atLeast"/>
          <w:cantSplit w:val="true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snapToGrid w:val="false"/>
              <w:rPr>
                <w:color w:val="151515"/>
              </w:rPr>
            </w:pPr>
            <w:r>
              <w:rPr>
                <w:color w:val="151515"/>
              </w:rPr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snapToGrid w:val="false"/>
              <w:rPr>
                <w:color w:val="151515"/>
              </w:rPr>
            </w:pPr>
            <w:r>
              <w:rPr>
                <w:color w:val="151515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rStyle w:val="Strong"/>
                <w:color w:val="151515"/>
                <w:sz w:val="22"/>
                <w:szCs w:val="22"/>
              </w:rPr>
              <w:t>Юридический адрес</w:t>
            </w:r>
            <w:r>
              <w:rPr>
                <w:rStyle w:val="Strong"/>
                <w:b w:val="false"/>
                <w:bCs w:val="false"/>
                <w:color w:val="151515"/>
                <w:sz w:val="22"/>
                <w:szCs w:val="22"/>
              </w:rPr>
              <w:t>:</w:t>
            </w:r>
            <w:r>
              <w:rPr>
                <w:color w:val="151515"/>
                <w:sz w:val="22"/>
                <w:szCs w:val="22"/>
              </w:rPr>
              <w:t xml:space="preserve"> </w:t>
            </w:r>
          </w:p>
          <w:p>
            <w:pPr>
              <w:pStyle w:val="Style14"/>
              <w:rPr>
                <w:rStyle w:val="Strong"/>
                <w:b w:val="false"/>
                <w:bCs w:val="false"/>
                <w:color w:val="151515"/>
                <w:sz w:val="22"/>
                <w:szCs w:val="22"/>
              </w:rPr>
            </w:pPr>
            <w:r>
              <w:rPr>
                <w:rStyle w:val="Strong"/>
                <w:color w:val="151515"/>
                <w:sz w:val="22"/>
                <w:szCs w:val="22"/>
              </w:rPr>
              <w:t>Фактический адрес</w:t>
            </w:r>
            <w:r>
              <w:rPr>
                <w:rStyle w:val="Strong"/>
                <w:b w:val="false"/>
                <w:bCs w:val="false"/>
                <w:color w:val="151515"/>
                <w:sz w:val="22"/>
                <w:szCs w:val="22"/>
              </w:rPr>
              <w:t xml:space="preserve">: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ИНН/КПП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Р/с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БИК</w:t>
            </w:r>
            <w:r>
              <w:rPr>
                <w:color w:val="151515"/>
                <w:sz w:val="22"/>
                <w:szCs w:val="22"/>
              </w:rPr>
              <w:t xml:space="preserve">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К/с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ОГРН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 xml:space="preserve">ОКПО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51515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151515"/>
                <w:sz w:val="22"/>
                <w:szCs w:val="22"/>
              </w:rPr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</w:rPr>
              <w:t>Телефон/факс</w:t>
            </w:r>
            <w:r>
              <w:rPr>
                <w:color w:val="151515"/>
              </w:rPr>
              <w:t xml:space="preserve">: </w:t>
              <w:br/>
            </w:r>
            <w:r>
              <w:rPr>
                <w:b/>
                <w:bCs/>
                <w:color w:val="151515"/>
              </w:rPr>
              <w:t>E-Mail</w:t>
            </w:r>
            <w:r>
              <w:rPr>
                <w:color w:val="151515"/>
              </w:rPr>
              <w:t xml:space="preserve">: </w:t>
            </w:r>
          </w:p>
          <w:p>
            <w:pPr>
              <w:pStyle w:val="Style14"/>
              <w:rPr>
                <w:color w:val="151515"/>
              </w:rPr>
            </w:pPr>
            <w:r>
              <w:rPr>
                <w:color w:val="151515"/>
              </w:rPr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Юридический адрес</w:t>
            </w:r>
            <w:r>
              <w:rPr>
                <w:color w:val="151515"/>
                <w:sz w:val="22"/>
                <w:szCs w:val="22"/>
              </w:rPr>
              <w:t xml:space="preserve">: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Фактический адрес</w:t>
            </w:r>
            <w:r>
              <w:rPr>
                <w:color w:val="151515"/>
                <w:sz w:val="22"/>
                <w:szCs w:val="22"/>
              </w:rPr>
              <w:t xml:space="preserve">: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ИНН/КПП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Р/с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 xml:space="preserve">БИК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к/с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/>
            </w:pPr>
            <w:r>
              <w:rPr>
                <w:b/>
                <w:bCs/>
                <w:color w:val="151515"/>
                <w:sz w:val="22"/>
                <w:szCs w:val="22"/>
              </w:rPr>
              <w:t>ОГРН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ОКПО</w:t>
            </w:r>
            <w:r>
              <w:rPr>
                <w:color w:val="151515"/>
                <w:sz w:val="22"/>
                <w:szCs w:val="22"/>
              </w:rPr>
              <w:t xml:space="preserve">  </w:t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color w:val="151515"/>
                <w:sz w:val="22"/>
                <w:szCs w:val="22"/>
              </w:rPr>
            </w:r>
          </w:p>
          <w:p>
            <w:pPr>
              <w:pStyle w:val="Style14"/>
              <w:rPr>
                <w:color w:val="151515"/>
                <w:sz w:val="22"/>
                <w:szCs w:val="22"/>
              </w:rPr>
            </w:pPr>
            <w:r>
              <w:rPr>
                <w:b/>
                <w:bCs/>
                <w:color w:val="151515"/>
                <w:sz w:val="22"/>
                <w:szCs w:val="22"/>
              </w:rPr>
              <w:t>Телефон</w:t>
            </w:r>
            <w:r>
              <w:rPr>
                <w:color w:val="151515"/>
                <w:sz w:val="22"/>
                <w:szCs w:val="22"/>
              </w:rPr>
              <w:t xml:space="preserve">: </w:t>
            </w:r>
          </w:p>
        </w:tc>
      </w:tr>
    </w:tbl>
    <w:p>
      <w:pPr>
        <w:pStyle w:val="Style15"/>
        <w:ind w:left="36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yle15"/>
        <w:numPr>
          <w:ilvl w:val="0"/>
          <w:numId w:val="2"/>
        </w:numPr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ПОДПИСИ СТОРОН</w:t>
      </w:r>
    </w:p>
    <w:p>
      <w:pPr>
        <w:pStyle w:val="Normal"/>
        <w:spacing w:before="0" w:after="0"/>
        <w:jc w:val="both"/>
        <w:rPr>
          <w:rStyle w:val="Strong"/>
          <w:rFonts w:ascii="Times New Roman" w:hAnsi="Times New Roman" w:cs="Times New Roman"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</w:t>
        <w:tab/>
        <w:t xml:space="preserve">                           ___________________________</w:t>
        <w:tab/>
        <w:tab/>
        <w:tab/>
      </w:r>
    </w:p>
    <w:p>
      <w:pPr>
        <w:pStyle w:val="BodyTextIndent21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 ______________ 20____г.</w:t>
        <w:tab/>
        <w:tab/>
        <w:t xml:space="preserve">          </w:t>
        <w:tab/>
        <w:t xml:space="preserve">   «___» ______________ 20____г.</w:t>
      </w:r>
    </w:p>
    <w:p>
      <w:pPr>
        <w:pStyle w:val="BodyTextIndent21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                                                                                    М.П.</w:t>
      </w:r>
    </w:p>
    <w:p>
      <w:pPr>
        <w:pStyle w:val="BodyTextIndent21"/>
        <w:ind w:hanging="0" w:left="72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1"/>
        <w:ind w:hanging="0" w:left="72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1"/>
        <w:ind w:hanging="0" w:left="720" w:right="0"/>
        <w:rPr/>
      </w:pPr>
      <w:r>
        <w:rPr>
          <w:rFonts w:cs="Times New Roman" w:ascii="Times New Roman" w:hAnsi="Times New Roman"/>
          <w:b/>
          <w:color w:val="FF0000"/>
        </w:rPr>
        <w:t>*</w:t>
      </w:r>
      <w:r>
        <w:rPr>
          <w:rFonts w:cs="Times New Roman" w:ascii="Times New Roman" w:hAnsi="Times New Roman"/>
          <w:b/>
          <w:color w:val="FF0000"/>
          <w:sz w:val="20"/>
          <w:szCs w:val="20"/>
        </w:rPr>
        <w:t>пункты в соответствии с нормативными документами Системы Сертификации, изменению не подлежат, являются обязательными</w:t>
      </w:r>
      <w:r>
        <w:rPr>
          <w:rFonts w:cs="Times New Roman" w:ascii="Times New Roman" w:hAnsi="Times New Roman"/>
          <w:b/>
          <w:color w:val="FF0000"/>
        </w:rPr>
        <w:t>.</w:t>
      </w:r>
    </w:p>
    <w:p>
      <w:pPr>
        <w:pStyle w:val="BodyTextIndent21"/>
        <w:ind w:hanging="0" w:right="0"/>
        <w:rPr>
          <w:rFonts w:ascii="Times New Roman" w:hAnsi="Times New Roman" w:cs="Times New Roman"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Приложение № 1 к Соглашению </w:t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 сотрудничестве</w:t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от «_» ________20__г.</w:t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righ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Состав аттестационной комиссии: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Председатель комиссии: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(Представитель «Гильдии»)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Члены Комиссии: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___________________________</w:t>
        <w:tab/>
        <w:t xml:space="preserve">                           ___________________________</w:t>
        <w:tab/>
        <w:tab/>
        <w:tab/>
      </w:r>
    </w:p>
    <w:p>
      <w:pPr>
        <w:pStyle w:val="BodyTextIndent21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«___» ______________ 20____г.</w:t>
        <w:tab/>
        <w:tab/>
        <w:t xml:space="preserve">          </w:t>
        <w:tab/>
        <w:t xml:space="preserve">   «___» ______________ 20____г.</w:t>
      </w:r>
    </w:p>
    <w:p>
      <w:pPr>
        <w:pStyle w:val="BodyTextIndent21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М.П.                                                                                    М.П.</w:t>
      </w:r>
    </w:p>
    <w:p>
      <w:pPr>
        <w:pStyle w:val="BodyTextIndent21"/>
        <w:ind w:hanging="0" w:right="0"/>
        <w:jc w:val="lef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Garamond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3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4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5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6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7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8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uto" w:line="240" w:before="280" w:after="280"/>
      <w:outlineLvl w:val="3"/>
    </w:pPr>
    <w:rPr>
      <w:rFonts w:ascii="Times New Roman" w:hAnsi="Times New Roman" w:eastAsia="Calibri" w:cs="Times New Roman"/>
      <w:b/>
      <w:bCs/>
      <w:sz w:val="24"/>
      <w:szCs w:val="24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Style13">
    <w:name w:val="Основной шрифт абзаца"/>
    <w:qFormat/>
    <w:rPr/>
  </w:style>
  <w:style w:type="character" w:styleId="Strong">
    <w:name w:val="Strong"/>
    <w:qFormat/>
    <w:rPr>
      <w:rFonts w:cs="Times New Roman"/>
      <w:b/>
      <w:bCs/>
    </w:rPr>
  </w:style>
  <w:style w:type="character" w:styleId="4">
    <w:name w:val="Заголовок 4 Знак"/>
    <w:qFormat/>
    <w:rPr>
      <w:rFonts w:ascii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4">
    <w:name w:val="Обычный (веб)"/>
    <w:basedOn w:val="Normal"/>
    <w:qFormat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Style15">
    <w:name w:val="Абзац списка"/>
    <w:basedOn w:val="Normal"/>
    <w:qFormat/>
    <w:pPr>
      <w:ind w:hanging="0" w:left="720" w:right="0"/>
    </w:pPr>
    <w:rPr/>
  </w:style>
  <w:style w:type="paragraph" w:styleId="3">
    <w:name w:val="Îñíîâíîé òåêñò ñ îòñòóïîì 3"/>
    <w:basedOn w:val="Normal"/>
    <w:qFormat/>
    <w:pPr>
      <w:autoSpaceDE w:val="false"/>
      <w:spacing w:lineRule="auto" w:line="240" w:before="0" w:after="0"/>
      <w:ind w:firstLine="708" w:left="0" w:right="0"/>
      <w:jc w:val="both"/>
    </w:pPr>
    <w:rPr>
      <w:rFonts w:ascii="Times New Roman" w:hAnsi="Times New Roman" w:eastAsia="Calibri" w:cs="Times New Roman"/>
      <w:sz w:val="24"/>
      <w:szCs w:val="24"/>
    </w:rPr>
  </w:style>
  <w:style w:type="paragraph" w:styleId="TOC11">
    <w:name w:val="TOC 11"/>
    <w:basedOn w:val="Normal"/>
    <w:next w:val="Normal"/>
    <w:qFormat/>
    <w:pPr>
      <w:widowControl w:val="false"/>
      <w:tabs>
        <w:tab w:val="clear" w:pos="708"/>
        <w:tab w:val="right" w:pos="10196" w:leader="dot"/>
      </w:tabs>
      <w:suppressAutoHyphens w:val="true"/>
      <w:spacing w:lineRule="auto" w:line="240" w:before="0" w:after="0"/>
    </w:pPr>
    <w:rPr>
      <w:rFonts w:ascii="Garamond" w:hAnsi="Garamond" w:cs="Garamond"/>
      <w:sz w:val="24"/>
      <w:szCs w:val="24"/>
    </w:rPr>
  </w:style>
  <w:style w:type="paragraph" w:styleId="BodyTextIndent21">
    <w:name w:val="Body Text Indent 21"/>
    <w:basedOn w:val="Normal"/>
    <w:qFormat/>
    <w:pPr>
      <w:widowControl w:val="false"/>
      <w:suppressAutoHyphens w:val="true"/>
      <w:autoSpaceDE w:val="false"/>
      <w:spacing w:lineRule="auto" w:line="240" w:before="0" w:after="0"/>
      <w:ind w:firstLine="680" w:left="0" w:right="0"/>
      <w:jc w:val="both"/>
    </w:pPr>
    <w:rPr>
      <w:rFonts w:ascii="Garamond" w:hAnsi="Garamond" w:cs="Garamond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2016-11-17T17:41:00Z</dcterms:created>
  <dc:creator>1</dc:creator>
  <dc:description/>
  <cp:keywords/>
  <dc:language>en-US</dc:language>
  <cp:lastModifiedBy>Юлия Костяева</cp:lastModifiedBy>
  <cp:lastPrinted>2012-02-16T11:18:00Z</cp:lastPrinted>
  <dcterms:modified xsi:type="dcterms:W3CDTF">2026-07-13T18:09:00Z</dcterms:modified>
  <cp:revision>3</cp:revision>
  <dc:subject/>
  <dc:title>СОГЛАШЕНИЕ О СОТРУДНИЧЕСТВЕ</dc:title>
</cp:coreProperties>
</file>